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3D0132" w:rsidTr="00565734">
        <w:tc>
          <w:tcPr>
            <w:tcW w:w="2021" w:type="dxa"/>
            <w:hideMark/>
          </w:tcPr>
          <w:p w:rsidR="003D0132" w:rsidRDefault="003D0132" w:rsidP="00565734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3D0132" w:rsidRDefault="003D0132" w:rsidP="00565734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3D0132" w:rsidRDefault="003D0132" w:rsidP="00565734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3D0132" w:rsidRDefault="003D0132" w:rsidP="00565734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2FC6DD17" wp14:editId="7B1C96C4">
                  <wp:extent cx="1735613" cy="51689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70" cy="54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3D0132" w:rsidRDefault="003D0132" w:rsidP="00565734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  <w:tr w:rsidR="003D0132" w:rsidTr="00565734">
        <w:tc>
          <w:tcPr>
            <w:tcW w:w="2021" w:type="dxa"/>
          </w:tcPr>
          <w:p w:rsidR="003D0132" w:rsidRDefault="003D0132" w:rsidP="00565734">
            <w:pPr>
              <w:ind w:right="-710"/>
              <w:rPr>
                <w:rFonts w:ascii="Calibri Light" w:hAnsi="Calibri Light"/>
                <w:b/>
                <w:noProof/>
              </w:rPr>
            </w:pPr>
          </w:p>
        </w:tc>
        <w:tc>
          <w:tcPr>
            <w:tcW w:w="2232" w:type="dxa"/>
          </w:tcPr>
          <w:p w:rsidR="003D0132" w:rsidRDefault="003D0132" w:rsidP="00565734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3D0132" w:rsidRPr="00C47BD3" w:rsidRDefault="003D0132" w:rsidP="00565734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1437" w:type="dxa"/>
          </w:tcPr>
          <w:p w:rsidR="003D0132" w:rsidRDefault="003D0132" w:rsidP="00565734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  <w:tr w:rsidR="003D0132" w:rsidTr="00565734">
        <w:tc>
          <w:tcPr>
            <w:tcW w:w="2021" w:type="dxa"/>
          </w:tcPr>
          <w:p w:rsidR="003D0132" w:rsidRDefault="003D0132" w:rsidP="00565734">
            <w:pPr>
              <w:ind w:right="-710"/>
              <w:rPr>
                <w:rFonts w:ascii="Calibri Light" w:hAnsi="Calibri Light"/>
                <w:b/>
                <w:noProof/>
              </w:rPr>
            </w:pPr>
          </w:p>
        </w:tc>
        <w:tc>
          <w:tcPr>
            <w:tcW w:w="2232" w:type="dxa"/>
          </w:tcPr>
          <w:p w:rsidR="003D0132" w:rsidRDefault="003D0132" w:rsidP="00565734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3D0132" w:rsidRPr="00C47BD3" w:rsidRDefault="003D0132" w:rsidP="003D0132">
            <w:pPr>
              <w:tabs>
                <w:tab w:val="left" w:pos="2010"/>
              </w:tabs>
              <w:rPr>
                <w:rFonts w:ascii="Calibri Light" w:hAnsi="Calibri Light"/>
                <w:noProof/>
              </w:rPr>
            </w:pPr>
          </w:p>
        </w:tc>
        <w:tc>
          <w:tcPr>
            <w:tcW w:w="1437" w:type="dxa"/>
          </w:tcPr>
          <w:p w:rsidR="003D0132" w:rsidRDefault="003D0132" w:rsidP="00565734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D0132" w:rsidRDefault="003D0132" w:rsidP="003D0132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D0132" w:rsidRDefault="003D0132" w:rsidP="003D0132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D0132" w:rsidRDefault="003D0132" w:rsidP="003D0132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D0132" w:rsidRDefault="003D0132" w:rsidP="003D0132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D0132" w:rsidRDefault="003D0132" w:rsidP="003D0132">
      <w:pPr>
        <w:widowControl w:val="0"/>
        <w:numPr>
          <w:ilvl w:val="0"/>
          <w:numId w:val="2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20 kwietnia 2004r. o promocji zatrudnienia i instytucjach rynku pracy (Dz.U. z 2016r. poz. 645)</w:t>
      </w:r>
    </w:p>
    <w:p w:rsidR="003D0132" w:rsidRDefault="003D0132" w:rsidP="003D0132">
      <w:pPr>
        <w:widowControl w:val="0"/>
        <w:numPr>
          <w:ilvl w:val="0"/>
          <w:numId w:val="2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D0132" w:rsidRDefault="003D0132" w:rsidP="003D0132">
      <w:pPr>
        <w:widowControl w:val="0"/>
        <w:numPr>
          <w:ilvl w:val="0"/>
          <w:numId w:val="2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D0132" w:rsidRDefault="003D0132" w:rsidP="003D0132">
      <w:pPr>
        <w:widowControl w:val="0"/>
        <w:numPr>
          <w:ilvl w:val="0"/>
          <w:numId w:val="2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D0132" w:rsidRDefault="003D0132" w:rsidP="003D0132">
      <w:pPr>
        <w:ind w:right="-710"/>
        <w:jc w:val="center"/>
        <w:rPr>
          <w:rFonts w:ascii="Calibri Light" w:hAnsi="Calibri Light" w:cs="Times New Roman"/>
        </w:rPr>
      </w:pPr>
    </w:p>
    <w:p w:rsidR="003D0132" w:rsidRDefault="003D0132" w:rsidP="003D0132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D0132" w:rsidRDefault="003D0132" w:rsidP="003D0132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                        o promocji zatrudnienia i instytucjach rynku pracy,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jeżeli zatrudniają one pracowników,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                                                     z Rozporządzeniem Rady Ministrów w sprawie wysokości minimalnego wynagrodzenia za pracę w danym roku,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                             w Dzienniku Urzędowym Rzeczpospolitej Polskiej „Monitor Polski", na podstawie art. 20 pkt 2 ustawy z dnia 17 grudnia 1998 r. o emeryturach i rentach z Funduszu Ubezpieczeń Społecznych (Dz. U. z 2013, poz. 1440 ze zm.).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Białymstoku,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Powiatowy Urząd Pracy w Białymstoku,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osoby bezrobotnej do 30 roku życia,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                         o pracę nakładczą,</w:t>
      </w:r>
    </w:p>
    <w:p w:rsidR="003D0132" w:rsidRDefault="003D0132" w:rsidP="003D0132">
      <w:pPr>
        <w:widowControl w:val="0"/>
        <w:numPr>
          <w:ilvl w:val="0"/>
          <w:numId w:val="3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D0132" w:rsidRDefault="003D0132" w:rsidP="003D0132">
      <w:pPr>
        <w:ind w:right="-710"/>
        <w:jc w:val="center"/>
        <w:rPr>
          <w:rFonts w:ascii="Calibri Light" w:hAnsi="Calibri Light" w:cs="Times New Roman"/>
        </w:rPr>
      </w:pPr>
    </w:p>
    <w:p w:rsidR="003D0132" w:rsidRDefault="003D0132" w:rsidP="003D0132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D0132" w:rsidRDefault="003D0132" w:rsidP="003D0132">
      <w:pPr>
        <w:widowControl w:val="0"/>
        <w:numPr>
          <w:ilvl w:val="0"/>
          <w:numId w:val="4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Na wniosek bezrobotnego do 30 roku życia Starosta, na podstawie umowy, może przyznać bon na zasiedlenie w związku z podjęciem przez niego poza miejscem dotychczasowego zamieszkania zatrudnienia, innej pracy zarobkowej lub działalności gospodarczej, jeżeli:</w:t>
      </w:r>
    </w:p>
    <w:p w:rsidR="003D0132" w:rsidRDefault="003D0132" w:rsidP="003D0132">
      <w:pPr>
        <w:widowControl w:val="0"/>
        <w:numPr>
          <w:ilvl w:val="0"/>
          <w:numId w:val="5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 tytułu ich wykonywania będzie osiągał wynagrodzenie lub przychód w wysokości co najmniej minimalnego </w:t>
      </w:r>
      <w:r>
        <w:rPr>
          <w:rFonts w:ascii="Calibri Light" w:hAnsi="Calibri Light"/>
        </w:rPr>
        <w:lastRenderedPageBreak/>
        <w:t>wynagrodzenia za pracę brutto miesięcznie oraz będzie podlegał ubezpieczeniom społecznym;</w:t>
      </w:r>
    </w:p>
    <w:p w:rsidR="003D0132" w:rsidRDefault="003D0132" w:rsidP="003D0132">
      <w:pPr>
        <w:widowControl w:val="0"/>
        <w:numPr>
          <w:ilvl w:val="0"/>
          <w:numId w:val="5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odległość od miejsca dotychczasowego zamieszkania do miejscowości, w której osoba bezrobotna zamieszka                      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D0132" w:rsidRDefault="003D0132" w:rsidP="003D0132">
      <w:pPr>
        <w:widowControl w:val="0"/>
        <w:numPr>
          <w:ilvl w:val="0"/>
          <w:numId w:val="5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3D0132" w:rsidRDefault="003D0132" w:rsidP="003D0132">
      <w:pPr>
        <w:widowControl w:val="0"/>
        <w:numPr>
          <w:ilvl w:val="0"/>
          <w:numId w:val="6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Wymienione w pkt 1 przesłanki muszą zostać spełnione łącznie.</w:t>
      </w:r>
    </w:p>
    <w:p w:rsidR="003D0132" w:rsidRDefault="003D0132" w:rsidP="003D0132">
      <w:pPr>
        <w:widowControl w:val="0"/>
        <w:numPr>
          <w:ilvl w:val="0"/>
          <w:numId w:val="6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Bezrobotny, który otrzymał bon na zasiedlenie, jest obowiązany w terminie:</w:t>
      </w:r>
    </w:p>
    <w:p w:rsidR="003D0132" w:rsidRDefault="003D0132" w:rsidP="003D0132">
      <w:pPr>
        <w:widowControl w:val="0"/>
        <w:numPr>
          <w:ilvl w:val="0"/>
          <w:numId w:val="7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                       o którym mowa w pkt 1 b),</w:t>
      </w:r>
    </w:p>
    <w:p w:rsidR="003D0132" w:rsidRDefault="003D0132" w:rsidP="003D0132">
      <w:pPr>
        <w:widowControl w:val="0"/>
        <w:numPr>
          <w:ilvl w:val="0"/>
          <w:numId w:val="7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D0132" w:rsidRDefault="003D0132" w:rsidP="003D0132">
      <w:pPr>
        <w:widowControl w:val="0"/>
        <w:numPr>
          <w:ilvl w:val="0"/>
          <w:numId w:val="7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D0132" w:rsidRDefault="003D0132" w:rsidP="003D0132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D0132" w:rsidRDefault="003D0132" w:rsidP="003D0132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                                      z podjęciem zatrudnienia, innej pracy zarobkowej lub działalności gospodarczej.</w:t>
      </w:r>
    </w:p>
    <w:p w:rsidR="003D0132" w:rsidRDefault="003D0132" w:rsidP="003D0132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w ramach bonu na zasiedlenie nie będą przyznane bezrobotnemu który:</w:t>
      </w:r>
    </w:p>
    <w:p w:rsidR="003D0132" w:rsidRDefault="003D0132" w:rsidP="003D0132">
      <w:pPr>
        <w:widowControl w:val="0"/>
        <w:numPr>
          <w:ilvl w:val="0"/>
          <w:numId w:val="9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był zatrudniony lub wykonywał pracę zarobkową u tego pracodawcy, w okresie 6 miesięcy przed dniem złożenia wniosku.</w:t>
      </w:r>
    </w:p>
    <w:p w:rsidR="003D0132" w:rsidRDefault="003D0132" w:rsidP="003D0132">
      <w:pPr>
        <w:widowControl w:val="0"/>
        <w:numPr>
          <w:ilvl w:val="0"/>
          <w:numId w:val="9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jest współmałżonkiem, zstępnym, wstępnym w linii prostej w pierwszym stopniu pokrewieństwa pracodawcy,</w:t>
      </w:r>
    </w:p>
    <w:p w:rsidR="003D0132" w:rsidRDefault="003D0132" w:rsidP="003D0132">
      <w:pPr>
        <w:widowControl w:val="0"/>
        <w:numPr>
          <w:ilvl w:val="0"/>
          <w:numId w:val="9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zamieszkuje  pod tym samym adresem, co pracodawca.</w:t>
      </w:r>
    </w:p>
    <w:p w:rsidR="003D0132" w:rsidRDefault="003D0132" w:rsidP="003D0132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D0132" w:rsidRDefault="003D0132" w:rsidP="003D0132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3D0132" w:rsidRDefault="003D0132" w:rsidP="003D0132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Bon na zasiedlenie w pierwszej kolejności będzie przyznawany osobom bezrobotnym: </w:t>
      </w:r>
    </w:p>
    <w:p w:rsidR="003D0132" w:rsidRDefault="003D0132" w:rsidP="003D0132">
      <w:pPr>
        <w:widowControl w:val="0"/>
        <w:numPr>
          <w:ilvl w:val="0"/>
          <w:numId w:val="10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D0132" w:rsidRDefault="003D0132" w:rsidP="003D0132">
      <w:pPr>
        <w:widowControl w:val="0"/>
        <w:numPr>
          <w:ilvl w:val="0"/>
          <w:numId w:val="10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które przed ostatnią rejestracją w Urzędzie nie zostały zwolnione w trybie art. 52 KP,</w:t>
      </w:r>
    </w:p>
    <w:p w:rsidR="003D0132" w:rsidRDefault="003D0132" w:rsidP="003D0132">
      <w:pPr>
        <w:widowControl w:val="0"/>
        <w:numPr>
          <w:ilvl w:val="0"/>
          <w:numId w:val="10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podejmującym działalność gospodarczą po raz pierwszy.</w:t>
      </w:r>
    </w:p>
    <w:p w:rsidR="003D0132" w:rsidRDefault="003D0132" w:rsidP="003D0132">
      <w:pPr>
        <w:ind w:right="-710"/>
        <w:jc w:val="center"/>
        <w:rPr>
          <w:rFonts w:ascii="Calibri Light" w:hAnsi="Calibri Light"/>
        </w:rPr>
      </w:pPr>
    </w:p>
    <w:p w:rsidR="003D0132" w:rsidRDefault="003D0132" w:rsidP="003D0132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II WNIOSEK O PRZYZNANIE BONU NA ZASIEDLENIE DLA OSOBY BEZROBOTNEJ DO 30 ROKU ŻYCIA</w:t>
      </w:r>
    </w:p>
    <w:p w:rsidR="003D0132" w:rsidRDefault="003D0132" w:rsidP="003D0132">
      <w:pPr>
        <w:ind w:right="-710"/>
        <w:jc w:val="center"/>
        <w:rPr>
          <w:rFonts w:ascii="Calibri Light" w:hAnsi="Calibri Light"/>
        </w:rPr>
      </w:pPr>
      <w:r>
        <w:rPr>
          <w:rFonts w:ascii="Calibri Light" w:hAnsi="Calibri Light" w:cs="Times New Roman"/>
        </w:rPr>
        <w:t>§ 3</w:t>
      </w:r>
    </w:p>
    <w:p w:rsidR="003D0132" w:rsidRDefault="003D0132" w:rsidP="003D0132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D0132" w:rsidRDefault="003D0132" w:rsidP="003D0132">
      <w:pPr>
        <w:widowControl w:val="0"/>
        <w:numPr>
          <w:ilvl w:val="0"/>
          <w:numId w:val="12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wysokości środków, o które ubiega się osoba bezrobotna,</w:t>
      </w:r>
    </w:p>
    <w:p w:rsidR="003D0132" w:rsidRDefault="003D0132" w:rsidP="003D0132">
      <w:pPr>
        <w:widowControl w:val="0"/>
        <w:numPr>
          <w:ilvl w:val="0"/>
          <w:numId w:val="12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D0132" w:rsidRDefault="003D0132" w:rsidP="003D0132">
      <w:pPr>
        <w:widowControl w:val="0"/>
        <w:numPr>
          <w:ilvl w:val="0"/>
          <w:numId w:val="12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uzasadnienie celowości przyznania bonu na zasiedlenie,</w:t>
      </w:r>
    </w:p>
    <w:p w:rsidR="003D0132" w:rsidRDefault="003D0132" w:rsidP="003D0132">
      <w:pPr>
        <w:widowControl w:val="0"/>
        <w:numPr>
          <w:ilvl w:val="0"/>
          <w:numId w:val="12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nr rachunku bankowego, na który zostaną przelane środki w ramach bonu na zasiedlenie.</w:t>
      </w:r>
    </w:p>
    <w:p w:rsidR="003D0132" w:rsidRPr="00861BBD" w:rsidRDefault="003D0132" w:rsidP="003D0132">
      <w:pPr>
        <w:widowControl w:val="0"/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 xml:space="preserve">Druk wniosku jest dostępny w siedzibie Urzędu oraz na stronie internetowej </w:t>
      </w:r>
      <w:hyperlink r:id="rId8" w:history="1">
        <w:r>
          <w:rPr>
            <w:rStyle w:val="Hipercze"/>
            <w:rFonts w:ascii="Calibri Light" w:hAnsi="Calibri Light"/>
          </w:rPr>
          <w:t>www.pup.bialystok.pl</w:t>
        </w:r>
      </w:hyperlink>
      <w:r>
        <w:rPr>
          <w:rFonts w:ascii="Calibri Light" w:hAnsi="Calibri Light"/>
        </w:rPr>
        <w:t>.</w:t>
      </w:r>
    </w:p>
    <w:p w:rsidR="003D0132" w:rsidRPr="00791E5A" w:rsidRDefault="003D0132" w:rsidP="003D0132">
      <w:pPr>
        <w:widowControl w:val="0"/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</w:p>
    <w:p w:rsidR="003D0132" w:rsidRDefault="003D0132" w:rsidP="003D0132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4</w:t>
      </w:r>
    </w:p>
    <w:p w:rsidR="003D0132" w:rsidRDefault="003D0132" w:rsidP="003D0132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D0132" w:rsidRDefault="003D0132" w:rsidP="003D0132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Wniosek powinien zostać złożony co najmniej w okresie 7 dni przed dniem podjęcia zatrudnienia, innej pracy zarobkowej lub działalności gospodarczej.</w:t>
      </w:r>
    </w:p>
    <w:p w:rsidR="003D0132" w:rsidRDefault="003D0132" w:rsidP="003D0132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D0132" w:rsidRDefault="003D0132" w:rsidP="003D0132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Następnie wniosek zostaje przekazany do rozpatrzenia. </w:t>
      </w:r>
    </w:p>
    <w:p w:rsidR="003D0132" w:rsidRDefault="003D0132" w:rsidP="003D0132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Podczas oceny wniosku Dyrektor Urzędu bierze pod uwagę w szczególności:</w:t>
      </w:r>
    </w:p>
    <w:p w:rsidR="003D0132" w:rsidRDefault="003D0132" w:rsidP="003D0132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>
        <w:rPr>
          <w:rFonts w:ascii="Calibri Light" w:hAnsi="Calibri Light"/>
          <w:bCs/>
        </w:rPr>
        <w:t>sytuację na lokalnym rynku pracy,</w:t>
      </w:r>
    </w:p>
    <w:p w:rsidR="003D0132" w:rsidRDefault="003D0132" w:rsidP="003D0132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indywidualne potrzeby bezrobotnego,</w:t>
      </w:r>
    </w:p>
    <w:p w:rsidR="003D0132" w:rsidRDefault="003D0132" w:rsidP="003D0132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uzasadnienie wniosku o przyznanie bonu na zasiedlenie.</w:t>
      </w:r>
    </w:p>
    <w:p w:rsidR="003D0132" w:rsidRPr="00D94B1D" w:rsidRDefault="003D0132" w:rsidP="003D0132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D0132" w:rsidRDefault="003D0132" w:rsidP="003D0132">
      <w:pPr>
        <w:ind w:right="-710"/>
        <w:jc w:val="center"/>
        <w:rPr>
          <w:rFonts w:ascii="Calibri Light" w:hAnsi="Calibri Light" w:cs="Times New Roman"/>
          <w:b/>
        </w:rPr>
      </w:pPr>
    </w:p>
    <w:p w:rsidR="003D0132" w:rsidRDefault="003D0132" w:rsidP="003D0132">
      <w:pPr>
        <w:ind w:right="-710"/>
        <w:jc w:val="center"/>
        <w:rPr>
          <w:rFonts w:ascii="Calibri Light" w:hAnsi="Calibri Light" w:cs="Times New Roman"/>
          <w:b/>
        </w:rPr>
      </w:pPr>
      <w:r>
        <w:rPr>
          <w:rFonts w:ascii="Calibri Light" w:hAnsi="Calibri Light" w:cs="Times New Roman"/>
          <w:b/>
        </w:rPr>
        <w:t>III UMOWA</w:t>
      </w:r>
    </w:p>
    <w:p w:rsidR="003D0132" w:rsidRDefault="003D0132" w:rsidP="003D0132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5</w:t>
      </w:r>
    </w:p>
    <w:p w:rsidR="003D0132" w:rsidRDefault="003D0132" w:rsidP="003D0132">
      <w:pPr>
        <w:widowControl w:val="0"/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 xml:space="preserve">Umowa zawierana jest na piśmie pod rygorem nieważności i zawiera zobowiązanie Wnioskodawcy                                               </w:t>
      </w:r>
      <w:r>
        <w:rPr>
          <w:rFonts w:ascii="Calibri Light" w:hAnsi="Calibri Light" w:cs="Times New Roman"/>
        </w:rPr>
        <w:t>w szczególności do</w:t>
      </w:r>
      <w:r>
        <w:rPr>
          <w:rFonts w:ascii="Calibri Light" w:hAnsi="Calibri Light"/>
        </w:rPr>
        <w:t>:</w:t>
      </w:r>
    </w:p>
    <w:p w:rsidR="003D0132" w:rsidRDefault="003D0132" w:rsidP="003D0132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podjęcia, w okresie do 30 dni od dnia otrzymania bonu na zasiedlenie, zatrudnienia, innej pracy zarobkowej lub działalności gospodarczej,</w:t>
      </w:r>
    </w:p>
    <w:p w:rsidR="003D0132" w:rsidRDefault="003D0132" w:rsidP="003D0132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osiągania wynagrodzenia lub przychodu na zasadach zgodnych z § 2 pkt 1 a),</w:t>
      </w:r>
    </w:p>
    <w:p w:rsidR="003D0132" w:rsidRDefault="003D0132" w:rsidP="003D0132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D0132" w:rsidRDefault="003D0132" w:rsidP="003D0132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D0132" w:rsidRDefault="003D0132" w:rsidP="003D0132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D0132" w:rsidRDefault="003D0132" w:rsidP="003D0132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D0132" w:rsidRDefault="003D0132" w:rsidP="003D0132">
      <w:pPr>
        <w:widowControl w:val="0"/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>
        <w:rPr>
          <w:rFonts w:ascii="Calibri Light" w:hAnsi="Calibri Light"/>
        </w:rPr>
        <w:t>W przypadku niewywiązania się z obowiązków związanych z przyznaniem bonu, o których mowa w:</w:t>
      </w:r>
    </w:p>
    <w:p w:rsidR="003D0132" w:rsidRDefault="003D0132" w:rsidP="003D0132">
      <w:pPr>
        <w:widowControl w:val="0"/>
        <w:numPr>
          <w:ilvl w:val="0"/>
          <w:numId w:val="17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a), b) - kwota bonu na zasiedlenie podlega zwrotowi w całości w terminie 30 dni od dnia doręczenia wezwania Urzędu,</w:t>
      </w:r>
    </w:p>
    <w:p w:rsidR="003D0132" w:rsidRDefault="003D0132" w:rsidP="003D0132">
      <w:pPr>
        <w:widowControl w:val="0"/>
        <w:numPr>
          <w:ilvl w:val="0"/>
          <w:numId w:val="17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§ 2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3D0132" w:rsidRPr="00791E5A" w:rsidRDefault="003D0132" w:rsidP="003D0132">
      <w:pPr>
        <w:widowControl w:val="0"/>
        <w:numPr>
          <w:ilvl w:val="0"/>
          <w:numId w:val="17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</w:p>
    <w:p w:rsidR="003D0132" w:rsidRDefault="003D0132" w:rsidP="003D0132">
      <w:pPr>
        <w:ind w:right="-710"/>
        <w:jc w:val="center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§ 6</w:t>
      </w:r>
    </w:p>
    <w:p w:rsidR="003D0132" w:rsidRPr="00D94B1D" w:rsidRDefault="003D0132" w:rsidP="003D0132">
      <w:pPr>
        <w:pStyle w:val="Default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zawarcia umowy o dofinansowanie konieczna jest zgoda współmałżonka Wnioskodawcy pozostającego z nim we wspólnocie majątkowej.</w:t>
      </w:r>
    </w:p>
    <w:p w:rsidR="003D0132" w:rsidRDefault="003D0132" w:rsidP="003D0132">
      <w:pPr>
        <w:pStyle w:val="Default"/>
        <w:ind w:right="-710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lastRenderedPageBreak/>
        <w:t>IV. ZABEZPIECZENIE UMOWY</w:t>
      </w:r>
    </w:p>
    <w:p w:rsidR="003D0132" w:rsidRDefault="003D0132" w:rsidP="003D0132">
      <w:pPr>
        <w:pStyle w:val="Default"/>
        <w:ind w:right="-710"/>
        <w:jc w:val="center"/>
        <w:rPr>
          <w:rFonts w:ascii="Calibri Light" w:hAnsi="Calibri Light"/>
          <w:bCs/>
          <w:sz w:val="22"/>
          <w:szCs w:val="22"/>
        </w:rPr>
      </w:pPr>
    </w:p>
    <w:p w:rsidR="003D0132" w:rsidRDefault="003D0132" w:rsidP="003D0132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7</w:t>
      </w:r>
    </w:p>
    <w:p w:rsidR="003D0132" w:rsidRDefault="003D0132" w:rsidP="003D0132">
      <w:pPr>
        <w:pStyle w:val="Default"/>
        <w:numPr>
          <w:ilvl w:val="0"/>
          <w:numId w:val="18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D0132" w:rsidRDefault="003D0132" w:rsidP="003D0132">
      <w:pPr>
        <w:pStyle w:val="Default"/>
        <w:numPr>
          <w:ilvl w:val="0"/>
          <w:numId w:val="18"/>
        </w:numPr>
        <w:spacing w:after="39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Formą zabezpieczenia zwrotu przez Wnioskodawcę otrzymanych ze środków Funduszu Pracy jest poręczenie złożone                              w postaci podpisanej Umowy poręczenia. </w:t>
      </w:r>
    </w:p>
    <w:p w:rsidR="003D0132" w:rsidRDefault="003D0132" w:rsidP="003D0132">
      <w:pPr>
        <w:pStyle w:val="Default"/>
        <w:ind w:right="-710"/>
        <w:jc w:val="both"/>
        <w:rPr>
          <w:rFonts w:ascii="Calibri Light" w:hAnsi="Calibri Light"/>
          <w:sz w:val="22"/>
          <w:szCs w:val="22"/>
        </w:rPr>
      </w:pPr>
    </w:p>
    <w:p w:rsidR="003D0132" w:rsidRDefault="003D0132" w:rsidP="003D0132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8</w:t>
      </w:r>
    </w:p>
    <w:p w:rsidR="003D0132" w:rsidRDefault="003D0132" w:rsidP="003D0132">
      <w:pPr>
        <w:pStyle w:val="Default"/>
        <w:numPr>
          <w:ilvl w:val="0"/>
          <w:numId w:val="19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Poręczenie powinno być dokonane przez co najmniej 1 osobę, w siedzibie Urzędu.</w:t>
      </w:r>
    </w:p>
    <w:p w:rsidR="003D0132" w:rsidRDefault="003D0132" w:rsidP="003D0132">
      <w:pPr>
        <w:pStyle w:val="Default"/>
        <w:numPr>
          <w:ilvl w:val="0"/>
          <w:numId w:val="19"/>
        </w:numPr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Poręczycielem może być osoba, która: </w:t>
      </w:r>
    </w:p>
    <w:p w:rsidR="003D0132" w:rsidRDefault="003D0132" w:rsidP="003D0132">
      <w:pPr>
        <w:pStyle w:val="Default"/>
        <w:numPr>
          <w:ilvl w:val="0"/>
          <w:numId w:val="20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pełnoletnia i nie ukończyła 70 roku życia,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osiąga dochód, którego przeciętna wartość z trzech miesięcy poprzedzających poręczenie wynosi co najmniej 130% minimalnego wynagrodzenia brutto (po zmniejszeniu o zobowiązania finansowe), </w:t>
      </w:r>
    </w:p>
    <w:p w:rsidR="003D0132" w:rsidRDefault="003D0132" w:rsidP="003D0132">
      <w:pPr>
        <w:pStyle w:val="Default"/>
        <w:numPr>
          <w:ilvl w:val="0"/>
          <w:numId w:val="21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przypadku poręczyciela pobierającego świadczenie emerytalne lub rentowe dochód netto wynosi co najmniej równowartość obliczonego dochodu netto z pkt. 2 (po zmniejszeniu o miesięczne zobowiązania finansowe).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zatrudniona u Pracodawcy posiadającego siedzibę na terenie Rzeczpospolitej Polskiej, na czas niekreślony lub na okres co najmniej </w:t>
      </w:r>
      <w:r>
        <w:rPr>
          <w:rFonts w:ascii="Calibri Light" w:hAnsi="Calibri Light"/>
          <w:color w:val="auto"/>
          <w:sz w:val="22"/>
          <w:szCs w:val="22"/>
        </w:rPr>
        <w:t>jednego roku</w:t>
      </w:r>
      <w:r>
        <w:rPr>
          <w:rFonts w:ascii="Calibri Light" w:hAnsi="Calibri Light"/>
          <w:sz w:val="22"/>
          <w:szCs w:val="22"/>
        </w:rPr>
        <w:t xml:space="preserve"> od dnia udzielenia poręczenia,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prowadzi działalność gospodarczą opodatkowaną w innej formie niż karta podatkowa lub ryczałt od przychodów ewidencjonowanych,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jest emerytem lub rencistą, z wyłączeniem osób posiadających prawo do renty rodzinnej,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zobowiązana z tytułu prawomocnego wyroku sądowego,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znajduje się w okresie wypowiedzenia umowy o pracę,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nie jest dłużnikiem Funduszu Pracy, PFRON (dotyczy umów zawartych z PUP w Białymstoku), </w:t>
      </w:r>
    </w:p>
    <w:p w:rsidR="003D0132" w:rsidRDefault="003D0132" w:rsidP="003D0132">
      <w:pPr>
        <w:pStyle w:val="Default"/>
        <w:numPr>
          <w:ilvl w:val="0"/>
          <w:numId w:val="20"/>
        </w:numPr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nie jest zobowiązana z tytułu poręczenia dłużnikowi Funduszu Pracy, PFRON (dotyczy umów zawartych                            z PUP</w:t>
      </w:r>
      <w:r w:rsidR="009B3D17">
        <w:rPr>
          <w:rFonts w:ascii="Calibri Light" w:hAnsi="Calibri Light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 xml:space="preserve">w Białymstoku). </w:t>
      </w:r>
    </w:p>
    <w:p w:rsidR="003D0132" w:rsidRDefault="003D0132" w:rsidP="003D0132">
      <w:pPr>
        <w:pStyle w:val="Default"/>
        <w:spacing w:after="36"/>
        <w:rPr>
          <w:sz w:val="16"/>
          <w:szCs w:val="16"/>
        </w:rPr>
      </w:pPr>
    </w:p>
    <w:p w:rsidR="003D0132" w:rsidRDefault="003D0132" w:rsidP="003D0132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9</w:t>
      </w:r>
    </w:p>
    <w:p w:rsidR="003D0132" w:rsidRDefault="003D0132" w:rsidP="003D0132">
      <w:pPr>
        <w:pStyle w:val="Default"/>
        <w:spacing w:after="3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Poręczyciel: </w:t>
      </w:r>
    </w:p>
    <w:p w:rsidR="003D0132" w:rsidRDefault="003D0132" w:rsidP="003D0132">
      <w:pPr>
        <w:pStyle w:val="Default"/>
        <w:numPr>
          <w:ilvl w:val="0"/>
          <w:numId w:val="22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zatrudniony na umowę o pracę </w:t>
      </w:r>
      <w:r>
        <w:rPr>
          <w:rFonts w:ascii="Calibri Light" w:hAnsi="Calibri Light"/>
          <w:sz w:val="22"/>
          <w:szCs w:val="22"/>
        </w:rPr>
        <w:t xml:space="preserve">dostarcza zaświadczenie z zakładu pracy o wysokości średniego wynagrodzenia brutto i netto z ostatnich trzech miesięcy i rodzaju zawartej umowy o pracę - zgodnie z wzorem druku zaświadczenia umieszczonym na stronie internetowej Urzędu. </w:t>
      </w:r>
    </w:p>
    <w:p w:rsidR="003D0132" w:rsidRDefault="003D0132" w:rsidP="003D0132">
      <w:pPr>
        <w:pStyle w:val="Default"/>
        <w:numPr>
          <w:ilvl w:val="0"/>
          <w:numId w:val="22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prowadzący własną działalność gospodarczą </w:t>
      </w:r>
      <w:r>
        <w:rPr>
          <w:rFonts w:ascii="Calibri Light" w:hAnsi="Calibri Light"/>
          <w:sz w:val="22"/>
          <w:szCs w:val="22"/>
        </w:rPr>
        <w:t xml:space="preserve">dostarcza: </w:t>
      </w:r>
    </w:p>
    <w:p w:rsidR="003D0132" w:rsidRDefault="003D0132" w:rsidP="003D0132">
      <w:pPr>
        <w:pStyle w:val="Default"/>
        <w:numPr>
          <w:ilvl w:val="0"/>
          <w:numId w:val="21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wydruk z ostatnich 7 dni z Centralnej Ewidencji i Informacji o Działalności Gospodarczej Rzeczpospolitej Polskiej (www.firma.gov.pl) lub z właściwego rejestru sądowego (https://ems.ms.gov.pl), </w:t>
      </w:r>
    </w:p>
    <w:p w:rsidR="003D0132" w:rsidRDefault="003D0132" w:rsidP="003D0132">
      <w:pPr>
        <w:pStyle w:val="Default"/>
        <w:numPr>
          <w:ilvl w:val="0"/>
          <w:numId w:val="21"/>
        </w:numPr>
        <w:spacing w:after="36"/>
        <w:ind w:right="-7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zaświadczenie z Urzędu Skarbowego o wysokości osiągniętych dochodów z tytułu prowadzenia działalności za rok ubiegły. </w:t>
      </w:r>
    </w:p>
    <w:p w:rsidR="003D0132" w:rsidRPr="00D94B1D" w:rsidRDefault="003D0132" w:rsidP="003D0132">
      <w:pPr>
        <w:pStyle w:val="Default"/>
        <w:numPr>
          <w:ilvl w:val="0"/>
          <w:numId w:val="22"/>
        </w:numPr>
        <w:tabs>
          <w:tab w:val="num" w:pos="0"/>
        </w:tabs>
        <w:spacing w:after="36"/>
        <w:ind w:left="0" w:right="-710" w:hanging="284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będący na emeryturze lub rencie </w:t>
      </w:r>
      <w:r>
        <w:rPr>
          <w:rFonts w:ascii="Calibri Light" w:hAnsi="Calibri Light"/>
          <w:sz w:val="22"/>
          <w:szCs w:val="22"/>
        </w:rPr>
        <w:t xml:space="preserve">przedkłada ostatnią decyzję organu wypłacającego pobierane świadczenie. </w:t>
      </w:r>
    </w:p>
    <w:p w:rsidR="003D0132" w:rsidRDefault="003D0132" w:rsidP="003D0132">
      <w:pPr>
        <w:pStyle w:val="Default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D0132" w:rsidRDefault="003D0132" w:rsidP="003D0132">
      <w:pPr>
        <w:pStyle w:val="Default"/>
        <w:numPr>
          <w:ilvl w:val="0"/>
          <w:numId w:val="23"/>
        </w:numPr>
        <w:tabs>
          <w:tab w:val="num" w:pos="0"/>
        </w:tabs>
        <w:spacing w:after="36"/>
        <w:ind w:left="0" w:right="-710" w:hanging="284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upoważnionego pracownika Urzędu lub notariusza.</w:t>
      </w:r>
    </w:p>
    <w:p w:rsidR="003D0132" w:rsidRDefault="003D0132" w:rsidP="003D0132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8A45D5" w:rsidRDefault="008A45D5"/>
    <w:sectPr w:rsidR="008A45D5" w:rsidSect="003D013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5B" w:rsidRDefault="00C7235B" w:rsidP="003D0132">
      <w:pPr>
        <w:spacing w:after="0" w:line="240" w:lineRule="auto"/>
      </w:pPr>
      <w:r>
        <w:separator/>
      </w:r>
    </w:p>
  </w:endnote>
  <w:endnote w:type="continuationSeparator" w:id="0">
    <w:p w:rsidR="00C7235B" w:rsidRDefault="00C7235B" w:rsidP="003D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5B" w:rsidRDefault="00C7235B" w:rsidP="003D0132">
      <w:pPr>
        <w:spacing w:after="0" w:line="240" w:lineRule="auto"/>
      </w:pPr>
      <w:r>
        <w:separator/>
      </w:r>
    </w:p>
  </w:footnote>
  <w:footnote w:type="continuationSeparator" w:id="0">
    <w:p w:rsidR="00C7235B" w:rsidRDefault="00C7235B" w:rsidP="003D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D4346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9A0051"/>
    <w:multiLevelType w:val="hybridMultilevel"/>
    <w:tmpl w:val="75C0AF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2" w15:restartNumberingAfterBreak="0">
    <w:nsid w:val="74A242F5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32"/>
    <w:rsid w:val="003D0132"/>
    <w:rsid w:val="006034C9"/>
    <w:rsid w:val="008A45D5"/>
    <w:rsid w:val="009B3D17"/>
    <w:rsid w:val="00C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5021-20F5-42B7-8033-09C1998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1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D013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3D0132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3D0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3D0132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3D0132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table" w:styleId="Tabela-Siatka">
    <w:name w:val="Table Grid"/>
    <w:basedOn w:val="Standardowy"/>
    <w:uiPriority w:val="59"/>
    <w:rsid w:val="003D013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3D0132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3D0132"/>
    <w:rPr>
      <w:rFonts w:ascii="Verdana" w:hAnsi="Verdana" w:cs="Verdana"/>
      <w:b/>
      <w:bCs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3D0132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3D0132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3D0132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3D0132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3D0132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3D0132"/>
    <w:rPr>
      <w:rFonts w:ascii="Verdana" w:hAnsi="Verdana" w:cs="Verdana"/>
      <w:i/>
      <w:iCs/>
      <w:sz w:val="10"/>
      <w:szCs w:val="10"/>
    </w:rPr>
  </w:style>
  <w:style w:type="character" w:styleId="Hipercze">
    <w:name w:val="Hyperlink"/>
    <w:semiHidden/>
    <w:unhideWhenUsed/>
    <w:rsid w:val="003D0132"/>
    <w:rPr>
      <w:color w:val="000080"/>
      <w:u w:val="single"/>
    </w:rPr>
  </w:style>
  <w:style w:type="paragraph" w:customStyle="1" w:styleId="Default">
    <w:name w:val="Default"/>
    <w:rsid w:val="003D013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01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D01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bialystok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Syriusz</cp:lastModifiedBy>
  <cp:revision>2</cp:revision>
  <dcterms:created xsi:type="dcterms:W3CDTF">2017-04-19T08:43:00Z</dcterms:created>
  <dcterms:modified xsi:type="dcterms:W3CDTF">2017-04-20T06:48:00Z</dcterms:modified>
</cp:coreProperties>
</file>